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2013C" w14:textId="3C87510F" w:rsidR="009C3407" w:rsidRDefault="009C3407" w:rsidP="009C3407">
      <w:pPr>
        <w:spacing w:line="480" w:lineRule="auto"/>
        <w:ind w:firstLine="720"/>
        <w:jc w:val="center"/>
        <w:rPr>
          <w:rFonts w:asciiTheme="majorBidi" w:hAnsiTheme="majorBidi" w:cstheme="majorBidi"/>
          <w:sz w:val="24"/>
          <w:szCs w:val="24"/>
        </w:rPr>
      </w:pPr>
      <w:r w:rsidRPr="009C3407">
        <w:rPr>
          <w:rFonts w:asciiTheme="majorBidi" w:hAnsiTheme="majorBidi" w:cstheme="majorBidi"/>
          <w:sz w:val="24"/>
          <w:szCs w:val="24"/>
          <w:highlight w:val="yellow"/>
        </w:rPr>
        <w:t>Research Proposal I submitted</w:t>
      </w:r>
    </w:p>
    <w:p w14:paraId="56FD3B4D" w14:textId="5040FFCB" w:rsidR="00E233E5" w:rsidRDefault="00E233E5" w:rsidP="00E233E5">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t>Juvenile Corrections</w:t>
      </w:r>
    </w:p>
    <w:p w14:paraId="5659AC30" w14:textId="060A74DE" w:rsidR="003C4C5F" w:rsidRDefault="003C4C5F" w:rsidP="003C4C5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juvenile justice system has undergone numerous shifts since the 1750s to present day </w:t>
      </w:r>
      <w:proofErr w:type="gramStart"/>
      <w:r>
        <w:rPr>
          <w:rFonts w:asciiTheme="majorBidi" w:hAnsiTheme="majorBidi" w:cstheme="majorBidi"/>
          <w:sz w:val="24"/>
          <w:szCs w:val="24"/>
        </w:rPr>
        <w:t>in an attempt to</w:t>
      </w:r>
      <w:proofErr w:type="gramEnd"/>
      <w:r>
        <w:rPr>
          <w:rFonts w:asciiTheme="majorBidi" w:hAnsiTheme="majorBidi" w:cstheme="majorBidi"/>
          <w:sz w:val="24"/>
          <w:szCs w:val="24"/>
        </w:rPr>
        <w:t xml:space="preserve"> maintain public safety, develop skills, rehabilitation, habilitation, focus on treatment needs for successful youth integration into the community. The utilization of warehouses in the early days such as houses of refuge and almshouses were not only dangerous but also ineffective due to its punitive nature of the juvenile correction. The late 18</w:t>
      </w:r>
      <w:r>
        <w:rPr>
          <w:rFonts w:asciiTheme="majorBidi" w:hAnsiTheme="majorBidi" w:cstheme="majorBidi"/>
          <w:sz w:val="24"/>
          <w:szCs w:val="24"/>
          <w:vertAlign w:val="superscript"/>
        </w:rPr>
        <w:t>th</w:t>
      </w:r>
      <w:r>
        <w:rPr>
          <w:rFonts w:asciiTheme="majorBidi" w:hAnsiTheme="majorBidi" w:cstheme="majorBidi"/>
          <w:sz w:val="24"/>
          <w:szCs w:val="24"/>
        </w:rPr>
        <w:t xml:space="preserve"> and early 19</w:t>
      </w:r>
      <w:r>
        <w:rPr>
          <w:rFonts w:asciiTheme="majorBidi" w:hAnsiTheme="majorBidi" w:cstheme="majorBidi"/>
          <w:sz w:val="24"/>
          <w:szCs w:val="24"/>
          <w:vertAlign w:val="superscript"/>
        </w:rPr>
        <w:t>th</w:t>
      </w:r>
      <w:r>
        <w:rPr>
          <w:rFonts w:asciiTheme="majorBidi" w:hAnsiTheme="majorBidi" w:cstheme="majorBidi"/>
          <w:sz w:val="24"/>
          <w:szCs w:val="24"/>
        </w:rPr>
        <w:t xml:space="preserve"> centuries marked the first paradigm shift through the establishment of a juvenile court. The formalization of the juvenile court system led to the expansion of the juvenile system where more adolescents and children were imprisoned for noncriminal activities. Starting from the 1950s, due process rights were enacted in response to the huge number of emerging institutional placements for youthful offenders. The “tough-on-crime” approach that began in the 1980s and 1990s led to a significant expansion of the juvenile courts. The same approach was also implemented in schools through school exclusion policies and zero-tolerance discipline. The move led to the formation of the “school-to-prison pipeline.” Therefore, the current juvenile court structure has shown tremendous improvement in comparison to the early juvenile justice approached.</w:t>
      </w:r>
    </w:p>
    <w:p w14:paraId="5A322244" w14:textId="305D7788" w:rsidR="009C3407" w:rsidRDefault="009C3407" w:rsidP="009C3407">
      <w:pPr>
        <w:spacing w:line="480" w:lineRule="auto"/>
        <w:ind w:firstLine="720"/>
        <w:jc w:val="center"/>
        <w:rPr>
          <w:rFonts w:asciiTheme="majorBidi" w:hAnsiTheme="majorBidi" w:cstheme="majorBidi"/>
          <w:sz w:val="24"/>
          <w:szCs w:val="24"/>
        </w:rPr>
      </w:pPr>
      <w:r w:rsidRPr="009C3407">
        <w:rPr>
          <w:rFonts w:asciiTheme="majorBidi" w:hAnsiTheme="majorBidi" w:cstheme="majorBidi"/>
          <w:sz w:val="24"/>
          <w:szCs w:val="24"/>
          <w:highlight w:val="yellow"/>
        </w:rPr>
        <w:t>Research Problem Statement I submitted</w:t>
      </w:r>
    </w:p>
    <w:p w14:paraId="38B07689" w14:textId="77777777" w:rsidR="009C3407" w:rsidRDefault="009C3407" w:rsidP="009C3407">
      <w:pPr>
        <w:spacing w:line="480" w:lineRule="auto"/>
        <w:ind w:firstLine="720"/>
        <w:jc w:val="center"/>
        <w:rPr>
          <w:rFonts w:asciiTheme="majorBidi" w:hAnsiTheme="majorBidi" w:cstheme="majorBidi"/>
          <w:sz w:val="24"/>
          <w:szCs w:val="24"/>
        </w:rPr>
      </w:pPr>
      <w:r w:rsidRPr="009C3407">
        <w:rPr>
          <w:rFonts w:asciiTheme="majorBidi" w:hAnsiTheme="majorBidi" w:cstheme="majorBidi"/>
          <w:sz w:val="24"/>
          <w:szCs w:val="24"/>
          <w:highlight w:val="yellow"/>
        </w:rPr>
        <w:t>Research Question: What alternative methods should be adopted in Juvenile Corrections?</w:t>
      </w:r>
    </w:p>
    <w:p w14:paraId="64C026CE"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poverty levels rose significantly in most parts of the country in the 1800s, this era was also characterized by increased urban growth especially in the Northeastern region, immigrant influxes, and economic slumps. The situation led to the establishment of new facilities </w:t>
      </w:r>
      <w:r>
        <w:rPr>
          <w:rFonts w:asciiTheme="majorBidi" w:hAnsiTheme="majorBidi" w:cstheme="majorBidi"/>
          <w:sz w:val="24"/>
          <w:szCs w:val="24"/>
        </w:rPr>
        <w:lastRenderedPageBreak/>
        <w:t xml:space="preserve">referred to as the houses of refuge within the major cities meant to regulate the orphaned or the troubled children (Popple, 2018). The push towards the establishment of these facilities by wealthy conservatives was not geared towards the improvement of the juvenile correction system but was aimed at regulating the growing poverty class and the underlying fear of social unrest and its impact and influence on children. </w:t>
      </w:r>
    </w:p>
    <w:p w14:paraId="3A9DA027"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The support of the house of refuge led to the establishment of the “parent of the country” doctrine which involved many legal decisions that gave the state the power to act as a benevolent legal guardian in cases where the family was either unwilling or could not take care of their children. The laws also gave the state the mandate to discipline or control youthful offenders. The establishment of the houses of refuge marked the first important step towards juvenile correction by providing separate facilities for adults and children and incorporating education for the children. A single facility could hold approximately 1000 children who comprised of orphans, delinquent dependent, and the neglected. The fortress-like structure utilized corporal punishments, punitive environment, and solitary confinement. The children in this facility were abused and neglected. The black adolescent and children were confined in separate houses. For instance, the city of Philadelphia had established separate Houses of Refuge for the whites-only and the colored. The black children were restrained in this facility longer in comparison to the white children. The reformer soon established the Child-Saving Movement which eventually led to the establishment of the juvenile courts. The juvenile courts would later represent the first selective criminal code in the United States that was not equally applied to all citizens.</w:t>
      </w:r>
    </w:p>
    <w:p w14:paraId="4C15C08C"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almshouses had many flaws and did little in correcting the juveniles. The process of locking both the children and adults in the same house could harden the youthful offenders instead of rehabilitating them. The setup would also expose vulnerable children to child abuse. </w:t>
      </w:r>
      <w:r>
        <w:rPr>
          <w:rFonts w:asciiTheme="majorBidi" w:hAnsiTheme="majorBidi" w:cstheme="majorBidi"/>
          <w:sz w:val="24"/>
          <w:szCs w:val="24"/>
        </w:rPr>
        <w:lastRenderedPageBreak/>
        <w:t xml:space="preserve">The facility was a health hazard to the children because both the healthy and the sick were restrained in the same room which increased the chances of spreading communicable diseases. On the other hand, the House of Refuge was effective in separating the children from the adults and incorporating education in the facility but putting the delinquent and less privileged children in the same room would only undermine the juvenile correction process.  </w:t>
      </w:r>
    </w:p>
    <w:p w14:paraId="7988A687" w14:textId="77777777" w:rsidR="009C3407" w:rsidRPr="008413DB" w:rsidRDefault="009C3407" w:rsidP="009C3407">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initial rehabilitative philosophy of the juvenile court was overwhelmed by the expansion of youthful offenders </w:t>
      </w:r>
      <w:r>
        <w:rPr>
          <w:rFonts w:asciiTheme="majorBidi" w:hAnsiTheme="majorBidi" w:cstheme="majorBidi"/>
          <w:sz w:val="24"/>
          <w:szCs w:val="24"/>
        </w:rPr>
        <w:t>being</w:t>
      </w:r>
      <w:r w:rsidRPr="008413DB">
        <w:rPr>
          <w:rFonts w:asciiTheme="majorBidi" w:hAnsiTheme="majorBidi" w:cstheme="majorBidi"/>
          <w:sz w:val="24"/>
          <w:szCs w:val="24"/>
        </w:rPr>
        <w:t xml:space="preserve"> </w:t>
      </w:r>
      <w:r>
        <w:rPr>
          <w:rFonts w:asciiTheme="majorBidi" w:hAnsiTheme="majorBidi" w:cstheme="majorBidi"/>
          <w:sz w:val="24"/>
          <w:szCs w:val="24"/>
        </w:rPr>
        <w:t xml:space="preserve">placed in </w:t>
      </w:r>
      <w:r w:rsidRPr="008413DB">
        <w:rPr>
          <w:rFonts w:asciiTheme="majorBidi" w:hAnsiTheme="majorBidi" w:cstheme="majorBidi"/>
          <w:sz w:val="24"/>
          <w:szCs w:val="24"/>
        </w:rPr>
        <w:t xml:space="preserve">incarceration and detention facilities. Institutionalization </w:t>
      </w:r>
      <w:r>
        <w:rPr>
          <w:rFonts w:asciiTheme="majorBidi" w:hAnsiTheme="majorBidi" w:cstheme="majorBidi"/>
          <w:sz w:val="24"/>
          <w:szCs w:val="24"/>
        </w:rPr>
        <w:t>beca</w:t>
      </w:r>
      <w:r w:rsidRPr="008413DB">
        <w:rPr>
          <w:rFonts w:asciiTheme="majorBidi" w:hAnsiTheme="majorBidi" w:cstheme="majorBidi"/>
          <w:sz w:val="24"/>
          <w:szCs w:val="24"/>
        </w:rPr>
        <w:t xml:space="preserve">me the key determination and outcome for youthful offenders. The young offenders who were taken to court and found delinquent were sent </w:t>
      </w:r>
      <w:r>
        <w:rPr>
          <w:rFonts w:asciiTheme="majorBidi" w:hAnsiTheme="majorBidi" w:cstheme="majorBidi"/>
          <w:sz w:val="24"/>
          <w:szCs w:val="24"/>
        </w:rPr>
        <w:t xml:space="preserve">to be </w:t>
      </w:r>
      <w:r w:rsidRPr="008413DB">
        <w:rPr>
          <w:rFonts w:asciiTheme="majorBidi" w:hAnsiTheme="majorBidi" w:cstheme="majorBidi"/>
          <w:sz w:val="24"/>
          <w:szCs w:val="24"/>
        </w:rPr>
        <w:t xml:space="preserve">locked </w:t>
      </w:r>
      <w:r>
        <w:rPr>
          <w:rFonts w:asciiTheme="majorBidi" w:hAnsiTheme="majorBidi" w:cstheme="majorBidi"/>
          <w:sz w:val="24"/>
          <w:szCs w:val="24"/>
        </w:rPr>
        <w:t xml:space="preserve">up in a </w:t>
      </w:r>
      <w:r w:rsidRPr="008413DB">
        <w:rPr>
          <w:rFonts w:asciiTheme="majorBidi" w:hAnsiTheme="majorBidi" w:cstheme="majorBidi"/>
          <w:sz w:val="24"/>
          <w:szCs w:val="24"/>
        </w:rPr>
        <w:t xml:space="preserve">facility. The correctional facility grew significantly expanding its population occupancy from 100,000 to 400,000 between </w:t>
      </w:r>
      <w:r>
        <w:rPr>
          <w:rFonts w:asciiTheme="majorBidi" w:hAnsiTheme="majorBidi" w:cstheme="majorBidi"/>
          <w:sz w:val="24"/>
          <w:szCs w:val="24"/>
        </w:rPr>
        <w:t xml:space="preserve">the </w:t>
      </w:r>
      <w:r w:rsidRPr="008413DB">
        <w:rPr>
          <w:rFonts w:asciiTheme="majorBidi" w:hAnsiTheme="majorBidi" w:cstheme="majorBidi"/>
          <w:sz w:val="24"/>
          <w:szCs w:val="24"/>
        </w:rPr>
        <w:t xml:space="preserve">1940s the 1960s respectively. The juvenile courts made positive steps towards improving juvenile correction, but it was limited in terms of delinquency prevention and reformation. In this period, there was a significant growth of the juvenile court creating room for more minor offenses such as truancy issues, and other child welfare issues. Some of the major changes in the juvenile justice system that occurred during this period had a major impact on the federal government, state reformation, and U.S Supreme Court roles in establishing </w:t>
      </w:r>
      <w:r>
        <w:rPr>
          <w:rFonts w:asciiTheme="majorBidi" w:hAnsiTheme="majorBidi" w:cstheme="majorBidi"/>
          <w:sz w:val="24"/>
          <w:szCs w:val="24"/>
        </w:rPr>
        <w:t xml:space="preserve">rights for </w:t>
      </w:r>
      <w:r w:rsidRPr="008413DB">
        <w:rPr>
          <w:rFonts w:asciiTheme="majorBidi" w:hAnsiTheme="majorBidi" w:cstheme="majorBidi"/>
          <w:sz w:val="24"/>
          <w:szCs w:val="24"/>
        </w:rPr>
        <w:t xml:space="preserve">youthful offenders. </w:t>
      </w:r>
    </w:p>
    <w:p w14:paraId="0A6989EC" w14:textId="77777777" w:rsidR="009C3407" w:rsidRDefault="009C3407" w:rsidP="009C3407">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institutions had numerous flaws that limited </w:t>
      </w:r>
      <w:r>
        <w:rPr>
          <w:rFonts w:asciiTheme="majorBidi" w:hAnsiTheme="majorBidi" w:cstheme="majorBidi"/>
          <w:sz w:val="24"/>
          <w:szCs w:val="24"/>
        </w:rPr>
        <w:t>their</w:t>
      </w:r>
      <w:r w:rsidRPr="008413DB">
        <w:rPr>
          <w:rFonts w:asciiTheme="majorBidi" w:hAnsiTheme="majorBidi" w:cstheme="majorBidi"/>
          <w:sz w:val="24"/>
          <w:szCs w:val="24"/>
        </w:rPr>
        <w:t xml:space="preserve"> effectiveness in</w:t>
      </w:r>
      <w:r>
        <w:rPr>
          <w:rFonts w:asciiTheme="majorBidi" w:hAnsiTheme="majorBidi" w:cstheme="majorBidi"/>
          <w:sz w:val="24"/>
          <w:szCs w:val="24"/>
        </w:rPr>
        <w:t xml:space="preserve"> </w:t>
      </w:r>
      <w:r w:rsidRPr="008413DB">
        <w:rPr>
          <w:rFonts w:asciiTheme="majorBidi" w:hAnsiTheme="majorBidi" w:cstheme="majorBidi"/>
          <w:sz w:val="24"/>
          <w:szCs w:val="24"/>
        </w:rPr>
        <w:t xml:space="preserve">juvenile correction. The facilities were overcrowded because they were </w:t>
      </w:r>
      <w:r>
        <w:rPr>
          <w:rFonts w:asciiTheme="majorBidi" w:hAnsiTheme="majorBidi" w:cstheme="majorBidi"/>
          <w:sz w:val="24"/>
          <w:szCs w:val="24"/>
        </w:rPr>
        <w:t>substandard</w:t>
      </w:r>
      <w:r w:rsidRPr="008413DB">
        <w:rPr>
          <w:rFonts w:asciiTheme="majorBidi" w:hAnsiTheme="majorBidi" w:cstheme="majorBidi"/>
          <w:sz w:val="24"/>
          <w:szCs w:val="24"/>
        </w:rPr>
        <w:t>. The environment was not only punitive and controlling but also lacked medical care and rehabilitative services for young offenders</w:t>
      </w:r>
      <w:r>
        <w:rPr>
          <w:rFonts w:asciiTheme="majorBidi" w:hAnsiTheme="majorBidi" w:cstheme="majorBidi"/>
          <w:sz w:val="24"/>
          <w:szCs w:val="24"/>
        </w:rPr>
        <w:t xml:space="preserve"> (Aguado, 2018)</w:t>
      </w:r>
      <w:r w:rsidRPr="008413DB">
        <w:rPr>
          <w:rFonts w:asciiTheme="majorBidi" w:hAnsiTheme="majorBidi" w:cstheme="majorBidi"/>
          <w:sz w:val="24"/>
          <w:szCs w:val="24"/>
        </w:rPr>
        <w:t xml:space="preserve">. Most of the interventions employed by </w:t>
      </w:r>
      <w:r>
        <w:rPr>
          <w:rFonts w:asciiTheme="majorBidi" w:hAnsiTheme="majorBidi" w:cstheme="majorBidi"/>
          <w:sz w:val="24"/>
          <w:szCs w:val="24"/>
        </w:rPr>
        <w:t xml:space="preserve">these </w:t>
      </w:r>
      <w:r w:rsidRPr="008413DB">
        <w:rPr>
          <w:rFonts w:asciiTheme="majorBidi" w:hAnsiTheme="majorBidi" w:cstheme="majorBidi"/>
          <w:sz w:val="24"/>
          <w:szCs w:val="24"/>
        </w:rPr>
        <w:t xml:space="preserve">institutions such as group treatment, environmental management skills, and therapies had no positive effect on youthful offenders. Although most of the low-income children’s cases were still handled by the </w:t>
      </w:r>
      <w:r w:rsidRPr="008413DB">
        <w:rPr>
          <w:rFonts w:asciiTheme="majorBidi" w:hAnsiTheme="majorBidi" w:cstheme="majorBidi"/>
          <w:sz w:val="24"/>
          <w:szCs w:val="24"/>
        </w:rPr>
        <w:lastRenderedPageBreak/>
        <w:t xml:space="preserve">juvenile courts, the community-based corrections introduced alternatives to incarceration. The alternatives include partial release supervision, group homes, and halfway houses. </w:t>
      </w:r>
    </w:p>
    <w:p w14:paraId="0DDCE666" w14:textId="77777777" w:rsidR="009C3407" w:rsidRDefault="009C3407" w:rsidP="009C3407">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The Kennedy Administration appointed a juvenile delinquency committee in 1961. The committee pursued a preventive focus for the troubled children, identification of factors linked to delinquency, as well as, determining the prevailing diversionary alternatives from delinquency adjudication</w:t>
      </w:r>
      <w:r>
        <w:rPr>
          <w:rFonts w:asciiTheme="majorBidi" w:hAnsiTheme="majorBidi" w:cstheme="majorBidi"/>
          <w:sz w:val="24"/>
          <w:szCs w:val="24"/>
        </w:rPr>
        <w:t xml:space="preserve"> (Cole &amp; Smith, 2007)</w:t>
      </w:r>
      <w:r w:rsidRPr="008413DB">
        <w:rPr>
          <w:rFonts w:asciiTheme="majorBidi" w:hAnsiTheme="majorBidi" w:cstheme="majorBidi"/>
          <w:sz w:val="24"/>
          <w:szCs w:val="24"/>
        </w:rPr>
        <w:t xml:space="preserve">. In 1974, the first federal law on grant-making was established under the Juvenile Justice and Delinquency Prevention Act. The law funded most juvenile court’s programs and requested the removal of young offenders from the adult’s jails, as well as, releasing status offenders from corrective facilities. Some states made </w:t>
      </w:r>
      <w:r>
        <w:rPr>
          <w:rFonts w:asciiTheme="majorBidi" w:hAnsiTheme="majorBidi" w:cstheme="majorBidi"/>
          <w:sz w:val="24"/>
          <w:szCs w:val="24"/>
        </w:rPr>
        <w:t>some</w:t>
      </w:r>
      <w:r w:rsidRPr="008413DB">
        <w:rPr>
          <w:rFonts w:asciiTheme="majorBidi" w:hAnsiTheme="majorBidi" w:cstheme="majorBidi"/>
          <w:sz w:val="24"/>
          <w:szCs w:val="24"/>
        </w:rPr>
        <w:t xml:space="preserve"> effort to shift from the poorly maintained facilities </w:t>
      </w:r>
      <w:r>
        <w:rPr>
          <w:rFonts w:asciiTheme="majorBidi" w:hAnsiTheme="majorBidi" w:cstheme="majorBidi"/>
          <w:sz w:val="24"/>
          <w:szCs w:val="24"/>
        </w:rPr>
        <w:t>to</w:t>
      </w:r>
      <w:r w:rsidRPr="008413DB">
        <w:rPr>
          <w:rFonts w:asciiTheme="majorBidi" w:hAnsiTheme="majorBidi" w:cstheme="majorBidi"/>
          <w:sz w:val="24"/>
          <w:szCs w:val="24"/>
        </w:rPr>
        <w:t xml:space="preserve"> adopting small, community</w:t>
      </w:r>
      <w:r>
        <w:rPr>
          <w:rFonts w:asciiTheme="majorBidi" w:hAnsiTheme="majorBidi" w:cstheme="majorBidi"/>
          <w:sz w:val="24"/>
          <w:szCs w:val="24"/>
        </w:rPr>
        <w:t>-</w:t>
      </w:r>
      <w:r w:rsidRPr="008413DB">
        <w:rPr>
          <w:rFonts w:asciiTheme="majorBidi" w:hAnsiTheme="majorBidi" w:cstheme="majorBidi"/>
          <w:sz w:val="24"/>
          <w:szCs w:val="24"/>
        </w:rPr>
        <w:t xml:space="preserve">based environment. The move was necessitated by </w:t>
      </w:r>
      <w:r>
        <w:rPr>
          <w:rFonts w:asciiTheme="majorBidi" w:hAnsiTheme="majorBidi" w:cstheme="majorBidi"/>
          <w:sz w:val="24"/>
          <w:szCs w:val="24"/>
        </w:rPr>
        <w:t xml:space="preserve">the </w:t>
      </w:r>
      <w:r w:rsidRPr="008413DB">
        <w:rPr>
          <w:rFonts w:asciiTheme="majorBidi" w:hAnsiTheme="majorBidi" w:cstheme="majorBidi"/>
          <w:sz w:val="24"/>
          <w:szCs w:val="24"/>
        </w:rPr>
        <w:t>federal court</w:t>
      </w:r>
      <w:r>
        <w:rPr>
          <w:rFonts w:asciiTheme="majorBidi" w:hAnsiTheme="majorBidi" w:cstheme="majorBidi"/>
          <w:sz w:val="24"/>
          <w:szCs w:val="24"/>
        </w:rPr>
        <w:t>'</w:t>
      </w:r>
      <w:r w:rsidRPr="008413DB">
        <w:rPr>
          <w:rFonts w:asciiTheme="majorBidi" w:hAnsiTheme="majorBidi" w:cstheme="majorBidi"/>
          <w:sz w:val="24"/>
          <w:szCs w:val="24"/>
        </w:rPr>
        <w:t xml:space="preserve">s decision of deinstitutionalization of these facilities in their quest </w:t>
      </w:r>
      <w:r>
        <w:rPr>
          <w:rFonts w:asciiTheme="majorBidi" w:hAnsiTheme="majorBidi" w:cstheme="majorBidi"/>
          <w:sz w:val="24"/>
          <w:szCs w:val="24"/>
        </w:rPr>
        <w:t>for</w:t>
      </w:r>
      <w:r w:rsidRPr="008413DB">
        <w:rPr>
          <w:rFonts w:asciiTheme="majorBidi" w:hAnsiTheme="majorBidi" w:cstheme="majorBidi"/>
          <w:sz w:val="24"/>
          <w:szCs w:val="24"/>
        </w:rPr>
        <w:t xml:space="preserve"> </w:t>
      </w:r>
      <w:r>
        <w:rPr>
          <w:rFonts w:asciiTheme="majorBidi" w:hAnsiTheme="majorBidi" w:cstheme="majorBidi"/>
          <w:sz w:val="24"/>
          <w:szCs w:val="24"/>
        </w:rPr>
        <w:t xml:space="preserve">the </w:t>
      </w:r>
      <w:r w:rsidRPr="008413DB">
        <w:rPr>
          <w:rFonts w:asciiTheme="majorBidi" w:hAnsiTheme="majorBidi" w:cstheme="majorBidi"/>
          <w:sz w:val="24"/>
          <w:szCs w:val="24"/>
        </w:rPr>
        <w:t xml:space="preserve">protection of the due process. The process reduced the population of youthful offenders in incarceration by almost 90%. The ineffectiveness of these programs and other important policy areas led to a shift towards retribution and punishment within juvenile justice. </w:t>
      </w:r>
    </w:p>
    <w:p w14:paraId="6E7F8B5A" w14:textId="6AA52684" w:rsidR="009C3407" w:rsidRDefault="009C3407" w:rsidP="009C3407">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end of </w:t>
      </w:r>
      <w:r>
        <w:rPr>
          <w:rFonts w:asciiTheme="majorBidi" w:hAnsiTheme="majorBidi" w:cstheme="majorBidi"/>
          <w:sz w:val="24"/>
          <w:szCs w:val="24"/>
        </w:rPr>
        <w:t xml:space="preserve">the </w:t>
      </w:r>
      <w:r w:rsidRPr="008413DB">
        <w:rPr>
          <w:rFonts w:asciiTheme="majorBidi" w:hAnsiTheme="majorBidi" w:cstheme="majorBidi"/>
          <w:sz w:val="24"/>
          <w:szCs w:val="24"/>
        </w:rPr>
        <w:t>1990s saw the end of numerous punitively focused approaches that had been used within the juvenile justice system. The reason behind dismantling the earlier approaches was after the realization that these initiatives caused more harm than good in society</w:t>
      </w:r>
      <w:r>
        <w:rPr>
          <w:rFonts w:asciiTheme="majorBidi" w:hAnsiTheme="majorBidi" w:cstheme="majorBidi"/>
          <w:sz w:val="24"/>
          <w:szCs w:val="24"/>
        </w:rPr>
        <w:t xml:space="preserve"> (Hancock, 2009)</w:t>
      </w:r>
      <w:r w:rsidRPr="008413DB">
        <w:rPr>
          <w:rFonts w:asciiTheme="majorBidi" w:hAnsiTheme="majorBidi" w:cstheme="majorBidi"/>
          <w:sz w:val="24"/>
          <w:szCs w:val="24"/>
        </w:rPr>
        <w:t xml:space="preserve">. The justice system resulted </w:t>
      </w:r>
      <w:r>
        <w:rPr>
          <w:rFonts w:asciiTheme="majorBidi" w:hAnsiTheme="majorBidi" w:cstheme="majorBidi"/>
          <w:sz w:val="24"/>
          <w:szCs w:val="24"/>
        </w:rPr>
        <w:t>in</w:t>
      </w:r>
      <w:r w:rsidRPr="008413DB">
        <w:rPr>
          <w:rFonts w:asciiTheme="majorBidi" w:hAnsiTheme="majorBidi" w:cstheme="majorBidi"/>
          <w:sz w:val="24"/>
          <w:szCs w:val="24"/>
        </w:rPr>
        <w:t xml:space="preserve"> using diversionary and preventive interventions </w:t>
      </w:r>
      <w:proofErr w:type="gramStart"/>
      <w:r w:rsidRPr="008413DB">
        <w:rPr>
          <w:rFonts w:asciiTheme="majorBidi" w:hAnsiTheme="majorBidi" w:cstheme="majorBidi"/>
          <w:sz w:val="24"/>
          <w:szCs w:val="24"/>
        </w:rPr>
        <w:t>and also</w:t>
      </w:r>
      <w:proofErr w:type="gramEnd"/>
      <w:r w:rsidRPr="008413DB">
        <w:rPr>
          <w:rFonts w:asciiTheme="majorBidi" w:hAnsiTheme="majorBidi" w:cstheme="majorBidi"/>
          <w:sz w:val="24"/>
          <w:szCs w:val="24"/>
        </w:rPr>
        <w:t xml:space="preserve"> made critical advancements towards the development of evidence-based protocols and treatments</w:t>
      </w:r>
      <w:r>
        <w:rPr>
          <w:rFonts w:asciiTheme="majorBidi" w:hAnsiTheme="majorBidi" w:cstheme="majorBidi"/>
          <w:sz w:val="24"/>
          <w:szCs w:val="24"/>
        </w:rPr>
        <w:t xml:space="preserve"> (Mallett &amp; Tedor, 2018)</w:t>
      </w:r>
      <w:r w:rsidRPr="008413DB">
        <w:rPr>
          <w:rFonts w:asciiTheme="majorBidi" w:hAnsiTheme="majorBidi" w:cstheme="majorBidi"/>
          <w:sz w:val="24"/>
          <w:szCs w:val="24"/>
        </w:rPr>
        <w:t xml:space="preserve">. This approach decreased harsh punishments on youthful offenders, hence improving public safety. The reform was effective in that, it reduced nationwide </w:t>
      </w:r>
      <w:r w:rsidRPr="008413DB">
        <w:rPr>
          <w:rFonts w:asciiTheme="majorBidi" w:hAnsiTheme="majorBidi" w:cstheme="majorBidi"/>
          <w:sz w:val="24"/>
          <w:szCs w:val="24"/>
        </w:rPr>
        <w:lastRenderedPageBreak/>
        <w:t>arrests of young offenders by 31%, reduced offender cases by 34%</w:t>
      </w:r>
      <w:r>
        <w:rPr>
          <w:rFonts w:asciiTheme="majorBidi" w:hAnsiTheme="majorBidi" w:cstheme="majorBidi"/>
          <w:sz w:val="24"/>
          <w:szCs w:val="24"/>
        </w:rPr>
        <w:t>,</w:t>
      </w:r>
      <w:r w:rsidRPr="008413DB">
        <w:rPr>
          <w:rFonts w:asciiTheme="majorBidi" w:hAnsiTheme="majorBidi" w:cstheme="majorBidi"/>
          <w:sz w:val="24"/>
          <w:szCs w:val="24"/>
        </w:rPr>
        <w:t xml:space="preserve"> and adjudications of delinquency by 38% in twelve years (2000-2012).</w:t>
      </w:r>
    </w:p>
    <w:p w14:paraId="2361A841" w14:textId="4959950E" w:rsidR="009C3407" w:rsidRDefault="009C3407" w:rsidP="009C3407">
      <w:pPr>
        <w:spacing w:line="480" w:lineRule="auto"/>
        <w:jc w:val="center"/>
        <w:rPr>
          <w:rFonts w:asciiTheme="majorBidi" w:hAnsiTheme="majorBidi" w:cstheme="majorBidi"/>
          <w:b/>
          <w:bCs/>
          <w:sz w:val="24"/>
          <w:szCs w:val="24"/>
        </w:rPr>
      </w:pPr>
      <w:r w:rsidRPr="009C3407">
        <w:rPr>
          <w:rFonts w:asciiTheme="majorBidi" w:hAnsiTheme="majorBidi" w:cstheme="majorBidi"/>
          <w:b/>
          <w:bCs/>
          <w:sz w:val="24"/>
          <w:szCs w:val="24"/>
          <w:highlight w:val="yellow"/>
        </w:rPr>
        <w:t xml:space="preserve">Data and </w:t>
      </w:r>
      <w:r w:rsidR="00965C9A" w:rsidRPr="009C3407">
        <w:rPr>
          <w:rFonts w:asciiTheme="majorBidi" w:hAnsiTheme="majorBidi" w:cstheme="majorBidi"/>
          <w:b/>
          <w:bCs/>
          <w:sz w:val="24"/>
          <w:szCs w:val="24"/>
          <w:highlight w:val="yellow"/>
        </w:rPr>
        <w:t>Methodology,</w:t>
      </w:r>
      <w:r w:rsidRPr="009C3407">
        <w:rPr>
          <w:rFonts w:asciiTheme="majorBidi" w:hAnsiTheme="majorBidi" w:cstheme="majorBidi"/>
          <w:b/>
          <w:bCs/>
          <w:sz w:val="24"/>
          <w:szCs w:val="24"/>
          <w:highlight w:val="yellow"/>
        </w:rPr>
        <w:t xml:space="preserve"> I submitted</w:t>
      </w:r>
    </w:p>
    <w:p w14:paraId="74809363"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All the interventions that have been applied in the history of juvenile correction have proved that punitive measures do not always yield positive results. Numerous effective alternative methods should be adopted in juvenile correction. The best alternatives for juvenile correction </w:t>
      </w:r>
      <w:proofErr w:type="gramStart"/>
      <w:r>
        <w:rPr>
          <w:rFonts w:asciiTheme="majorBidi" w:hAnsiTheme="majorBidi" w:cstheme="majorBidi"/>
          <w:sz w:val="24"/>
          <w:szCs w:val="24"/>
        </w:rPr>
        <w:t>is</w:t>
      </w:r>
      <w:proofErr w:type="gramEnd"/>
      <w:r>
        <w:rPr>
          <w:rFonts w:asciiTheme="majorBidi" w:hAnsiTheme="majorBidi" w:cstheme="majorBidi"/>
          <w:sz w:val="24"/>
          <w:szCs w:val="24"/>
        </w:rPr>
        <w:t xml:space="preserve"> the utilization of local treatment methods (Bernstein, 2016). The youthful offenders under the local treatment methods are taught important life skills lessons that will help them become beneficial to society in the future. The offenders are also taught how to manage their emotions which could lead them to commit crimes. According to Alternatives to Secure Detention and Confinement of Juvenile Offenders, court officials must balance the interests of public safety with the needs of the youth when making decisions about which program to place a juvenile offender and which level of restriction is required (Austin, Johnson, Weitzer, 2005). In many cases offenders can be effectively rehabilitated through community-based supervision and intervention. But on the other hand, juvenile offenders who commit serious and/or violent crimes may require confinement, intensive supervision and intervention to be rehabilitated. </w:t>
      </w:r>
    </w:p>
    <w:p w14:paraId="03A32BA3"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Secure detention is different from secure confinement as detention refers to holding of youth, upon arrest, in a juvenile detention facility and confinement refers to youth who have been adjudicated delinquent and are committed to the custody of correctional facilities for periods ranging from a few months to several years. Confinement facilities have a much broader array of programs than detention facilities (Austin, Johnson, Weitzer, 2005). However, recent data indicates that one-third of all youth held in juvenile detention centers are detained for status offenses and technical violations of probation (Arthur, 2001). It is believed that detaining youth </w:t>
      </w:r>
      <w:r>
        <w:rPr>
          <w:rFonts w:asciiTheme="majorBidi" w:hAnsiTheme="majorBidi" w:cstheme="majorBidi"/>
          <w:sz w:val="24"/>
          <w:szCs w:val="24"/>
        </w:rPr>
        <w:lastRenderedPageBreak/>
        <w:t xml:space="preserve">in facilities prior to adjudication should be a last resort option for serious, violent, and chronic offenders and for those repeatedly fail to appear for their scheduled court dates. </w:t>
      </w:r>
    </w:p>
    <w:p w14:paraId="25CDCAA2"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Alternative methods such as programs should be adopted in Juvenile Corrections because The Texas Juvenile Justice Department (TJJD) in 2017 saw 53,522 referrals. There has since been a small decrease of referrals (3.0%) from calendar year 2016 with delinquent offenses decreasing 2.0%, violations of probation decreasing 5.1%, and CINS offenses decreasing 8.3%. This small percent decrease in the referrals, which means that a positive youth development program could be a tool to use (Prevention Zone, 2020). With over 2.7 million children and youth who have had at least one incarcerated parent increases the risk of children living in poverty or experiencing household instability along with a list of other problems. </w:t>
      </w:r>
    </w:p>
    <w:p w14:paraId="62E36817"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There is a need for alternatives to secure detention and confinement for reasons such as crowding and unproven effectiveness of detention and confinement. Over the past 15 years, crowded detention and confinement facilities have become more common. Approximately 39 percent of all juvenile detention and confinement facilities had more residents than available beds (</w:t>
      </w:r>
      <w:proofErr w:type="spellStart"/>
      <w:r>
        <w:rPr>
          <w:rFonts w:asciiTheme="majorBidi" w:hAnsiTheme="majorBidi" w:cstheme="majorBidi"/>
          <w:sz w:val="24"/>
          <w:szCs w:val="24"/>
        </w:rPr>
        <w:t>Sickmund</w:t>
      </w:r>
      <w:proofErr w:type="spellEnd"/>
      <w:r>
        <w:rPr>
          <w:rFonts w:asciiTheme="majorBidi" w:hAnsiTheme="majorBidi" w:cstheme="majorBidi"/>
          <w:sz w:val="24"/>
          <w:szCs w:val="24"/>
        </w:rPr>
        <w:t xml:space="preserve">, 2002). As the system becomes more crowded, detention staff must learn how to manage the continuous admissions and releases.   </w:t>
      </w:r>
    </w:p>
    <w:p w14:paraId="491D1FE2" w14:textId="77777777" w:rsidR="009C3407" w:rsidRDefault="009C3407" w:rsidP="009C3407">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Prevention Zone offers numerous programs for juvenile offenders such as Positive Youth Development Program, Youth and Incarcerated Parent(s) Program, Exonerated Citizen Reentry Program and a Mentorship Program. Each program has a different goal, but all want to achieve the same outcome of rehabilitating our youth. The Positive Youth Development Program reinforces the commitment to reach as many youths as possible by partnering with youth.gov and other agencies. The Youth and Incarcerated Parent(s) Program’s supports and encourages by addressing the issue by bringing awareness, identifying strategies, change and promoting. This </w:t>
      </w:r>
      <w:r>
        <w:rPr>
          <w:rFonts w:asciiTheme="majorBidi" w:hAnsiTheme="majorBidi" w:cstheme="majorBidi"/>
          <w:sz w:val="24"/>
          <w:szCs w:val="24"/>
        </w:rPr>
        <w:lastRenderedPageBreak/>
        <w:t xml:space="preserve">program can be facilitated in schools, the community and society. The Exonerated Citizen Reentry Program operates one step at a time by trying to reach the exonerated citizens that were wrongfully convicted. The Mentorship Program reinforces the community by promoting great opportunities for those in continuing services after completing their program (Prevention Zone, 2020). </w:t>
      </w:r>
    </w:p>
    <w:p w14:paraId="7D5CFFA8" w14:textId="77777777" w:rsidR="009C3407" w:rsidRDefault="009C3407" w:rsidP="009C3407">
      <w:pPr>
        <w:pStyle w:val="font1"/>
        <w:spacing w:before="0" w:beforeAutospacing="0" w:after="0" w:afterAutospacing="0" w:line="430" w:lineRule="atLeast"/>
        <w:jc w:val="center"/>
        <w:textAlignment w:val="baseline"/>
        <w:rPr>
          <w:rFonts w:ascii="Arial" w:hAnsi="Arial" w:cs="Arial"/>
          <w:color w:val="0C0B0B"/>
          <w:sz w:val="21"/>
          <w:szCs w:val="21"/>
        </w:rPr>
      </w:pPr>
      <w:r>
        <w:rPr>
          <w:rStyle w:val="wixguard"/>
          <w:rFonts w:ascii="Arial" w:hAnsi="Arial" w:cs="Arial"/>
          <w:b/>
          <w:bCs/>
          <w:i/>
          <w:iCs/>
          <w:color w:val="0C0B0B"/>
          <w:sz w:val="21"/>
          <w:szCs w:val="21"/>
          <w:bdr w:val="none" w:sz="0" w:space="0" w:color="auto" w:frame="1"/>
        </w:rPr>
        <w:t>​</w:t>
      </w:r>
    </w:p>
    <w:p w14:paraId="73C8D912" w14:textId="77777777" w:rsidR="009C3407" w:rsidRDefault="009C3407" w:rsidP="009C3407"/>
    <w:p w14:paraId="7B3C9048" w14:textId="77777777" w:rsidR="009C3407" w:rsidRDefault="009C3407" w:rsidP="009C3407"/>
    <w:p w14:paraId="5D780707" w14:textId="77777777" w:rsidR="009C3407" w:rsidRDefault="009C3407" w:rsidP="009C3407"/>
    <w:p w14:paraId="60B26E88" w14:textId="77777777" w:rsidR="009C3407" w:rsidRDefault="009C3407" w:rsidP="009C3407"/>
    <w:p w14:paraId="38475330" w14:textId="77777777" w:rsidR="009C3407" w:rsidRDefault="009C3407" w:rsidP="009C3407"/>
    <w:p w14:paraId="234F34FA" w14:textId="77777777" w:rsidR="009C3407" w:rsidRDefault="009C3407" w:rsidP="009C3407"/>
    <w:p w14:paraId="30B01ACF" w14:textId="77777777" w:rsidR="009C3407" w:rsidRDefault="009C3407" w:rsidP="009C3407"/>
    <w:p w14:paraId="6F0155AE" w14:textId="77777777" w:rsidR="009C3407" w:rsidRDefault="009C3407" w:rsidP="009C3407"/>
    <w:p w14:paraId="2140F64A" w14:textId="77777777" w:rsidR="009C3407" w:rsidRDefault="009C3407" w:rsidP="009C3407"/>
    <w:p w14:paraId="543534F2" w14:textId="77777777" w:rsidR="009C3407" w:rsidRDefault="009C3407" w:rsidP="009C3407"/>
    <w:p w14:paraId="183D0D5F" w14:textId="77777777" w:rsidR="009C3407" w:rsidRDefault="009C3407" w:rsidP="009C3407"/>
    <w:p w14:paraId="7936A6BD" w14:textId="77777777" w:rsidR="009C3407" w:rsidRDefault="009C3407" w:rsidP="009C3407"/>
    <w:p w14:paraId="40A78776" w14:textId="77777777" w:rsidR="009C3407" w:rsidRDefault="009C3407" w:rsidP="009C3407"/>
    <w:p w14:paraId="76049BCC" w14:textId="77777777" w:rsidR="009C3407" w:rsidRDefault="009C3407" w:rsidP="009C3407"/>
    <w:p w14:paraId="29D9CA76" w14:textId="77777777" w:rsidR="009C3407" w:rsidRDefault="009C3407" w:rsidP="009C3407"/>
    <w:p w14:paraId="2338D355" w14:textId="77777777" w:rsidR="009C3407" w:rsidRDefault="009C3407" w:rsidP="009C3407"/>
    <w:p w14:paraId="56101BC6" w14:textId="77777777" w:rsidR="009C3407" w:rsidRDefault="009C3407" w:rsidP="009C3407"/>
    <w:p w14:paraId="4306681A" w14:textId="77777777" w:rsidR="009C3407" w:rsidRDefault="009C3407" w:rsidP="009C3407"/>
    <w:p w14:paraId="67D479DF" w14:textId="77777777" w:rsidR="009C3407" w:rsidRDefault="009C3407" w:rsidP="009C3407"/>
    <w:p w14:paraId="6D940755" w14:textId="2E3D713C" w:rsidR="009C3407" w:rsidRDefault="009C3407" w:rsidP="009C3407"/>
    <w:p w14:paraId="72FC2ECD" w14:textId="77777777" w:rsidR="009C3407" w:rsidRDefault="009C3407" w:rsidP="009C3407">
      <w:pPr>
        <w:spacing w:line="480" w:lineRule="auto"/>
        <w:ind w:left="3600" w:firstLine="720"/>
      </w:pPr>
    </w:p>
    <w:p w14:paraId="62EA32BA" w14:textId="7B753D06" w:rsidR="009C3407" w:rsidRDefault="009C3407" w:rsidP="009C3407">
      <w:pPr>
        <w:spacing w:line="480" w:lineRule="auto"/>
        <w:ind w:left="3600" w:firstLine="720"/>
        <w:rPr>
          <w:rFonts w:asciiTheme="majorBidi" w:hAnsiTheme="majorBidi" w:cstheme="majorBidi"/>
          <w:sz w:val="24"/>
          <w:szCs w:val="24"/>
        </w:rPr>
      </w:pPr>
      <w:r w:rsidRPr="00965C9A">
        <w:rPr>
          <w:rFonts w:asciiTheme="majorBidi" w:hAnsiTheme="majorBidi" w:cstheme="majorBidi"/>
          <w:sz w:val="24"/>
          <w:szCs w:val="24"/>
          <w:highlight w:val="yellow"/>
        </w:rPr>
        <w:lastRenderedPageBreak/>
        <w:t>References</w:t>
      </w:r>
      <w:r w:rsidR="00965C9A" w:rsidRPr="00965C9A">
        <w:rPr>
          <w:rFonts w:asciiTheme="majorBidi" w:hAnsiTheme="majorBidi" w:cstheme="majorBidi"/>
          <w:sz w:val="24"/>
          <w:szCs w:val="24"/>
          <w:highlight w:val="yellow"/>
        </w:rPr>
        <w:t xml:space="preserve"> I submitted</w:t>
      </w:r>
      <w:r w:rsidR="00965C9A">
        <w:rPr>
          <w:rFonts w:asciiTheme="majorBidi" w:hAnsiTheme="majorBidi" w:cstheme="majorBidi"/>
          <w:sz w:val="24"/>
          <w:szCs w:val="24"/>
        </w:rPr>
        <w:t xml:space="preserve"> </w:t>
      </w:r>
    </w:p>
    <w:p w14:paraId="4DA8E44F"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Aguado, P.L. (2018). </w:t>
      </w:r>
      <w:r w:rsidRPr="000B1CD3">
        <w:rPr>
          <w:rFonts w:asciiTheme="majorBidi" w:hAnsiTheme="majorBidi" w:cstheme="majorBidi"/>
          <w:i/>
          <w:iCs/>
          <w:sz w:val="24"/>
          <w:szCs w:val="24"/>
        </w:rPr>
        <w:t>Stick together and come back home: Racial sorting and spillover of carceral identity</w:t>
      </w:r>
      <w:r>
        <w:rPr>
          <w:rFonts w:asciiTheme="majorBidi" w:hAnsiTheme="majorBidi" w:cstheme="majorBidi"/>
          <w:sz w:val="24"/>
          <w:szCs w:val="24"/>
        </w:rPr>
        <w:t>. University of California</w:t>
      </w:r>
    </w:p>
    <w:p w14:paraId="634B8343" w14:textId="77777777" w:rsidR="009C3407" w:rsidRDefault="009C3407" w:rsidP="009C3407">
      <w:pPr>
        <w:spacing w:line="480" w:lineRule="auto"/>
        <w:rPr>
          <w:rFonts w:asciiTheme="majorBidi" w:hAnsiTheme="majorBidi" w:cstheme="majorBidi"/>
          <w:sz w:val="24"/>
          <w:szCs w:val="24"/>
        </w:rPr>
      </w:pPr>
      <w:r>
        <w:rPr>
          <w:rFonts w:asciiTheme="majorBidi" w:hAnsiTheme="majorBidi" w:cstheme="majorBidi"/>
          <w:sz w:val="24"/>
          <w:szCs w:val="24"/>
        </w:rPr>
        <w:t xml:space="preserve">Bernstein, N. (2016). </w:t>
      </w:r>
      <w:r w:rsidRPr="003441ED">
        <w:rPr>
          <w:rFonts w:asciiTheme="majorBidi" w:hAnsiTheme="majorBidi" w:cstheme="majorBidi"/>
          <w:i/>
          <w:iCs/>
          <w:sz w:val="24"/>
          <w:szCs w:val="24"/>
        </w:rPr>
        <w:t>Burning down the house: The end of juvenile prison</w:t>
      </w:r>
      <w:r>
        <w:rPr>
          <w:rFonts w:asciiTheme="majorBidi" w:hAnsiTheme="majorBidi" w:cstheme="majorBidi"/>
          <w:sz w:val="24"/>
          <w:szCs w:val="24"/>
        </w:rPr>
        <w:t>. New Press</w:t>
      </w:r>
    </w:p>
    <w:p w14:paraId="62F79600"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Cole, G. &amp; Smith, C. (2007). </w:t>
      </w:r>
      <w:r w:rsidRPr="004F015D">
        <w:rPr>
          <w:rFonts w:asciiTheme="majorBidi" w:hAnsiTheme="majorBidi" w:cstheme="majorBidi"/>
          <w:i/>
          <w:iCs/>
          <w:sz w:val="24"/>
          <w:szCs w:val="24"/>
        </w:rPr>
        <w:t>Criminal justice in America</w:t>
      </w:r>
      <w:r>
        <w:rPr>
          <w:rFonts w:asciiTheme="majorBidi" w:hAnsiTheme="majorBidi" w:cstheme="majorBidi"/>
          <w:sz w:val="24"/>
          <w:szCs w:val="24"/>
        </w:rPr>
        <w:t>. Cengage Learning</w:t>
      </w:r>
    </w:p>
    <w:p w14:paraId="4F427715"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Finley, L.L. (2007). </w:t>
      </w:r>
      <w:r w:rsidRPr="007D1C53">
        <w:rPr>
          <w:rFonts w:asciiTheme="majorBidi" w:hAnsiTheme="majorBidi" w:cstheme="majorBidi"/>
          <w:i/>
          <w:iCs/>
          <w:sz w:val="24"/>
          <w:szCs w:val="24"/>
        </w:rPr>
        <w:t>Encyclopedia of juvenile violence</w:t>
      </w:r>
      <w:r>
        <w:rPr>
          <w:rFonts w:asciiTheme="majorBidi" w:hAnsiTheme="majorBidi" w:cstheme="majorBidi"/>
          <w:sz w:val="24"/>
          <w:szCs w:val="24"/>
        </w:rPr>
        <w:t>. Greenwood Press</w:t>
      </w:r>
    </w:p>
    <w:p w14:paraId="43DF4ED9"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Hancock, D.W. (2009). </w:t>
      </w:r>
      <w:r w:rsidRPr="00B43F76">
        <w:rPr>
          <w:rFonts w:asciiTheme="majorBidi" w:hAnsiTheme="majorBidi" w:cstheme="majorBidi"/>
          <w:i/>
          <w:iCs/>
          <w:sz w:val="24"/>
          <w:szCs w:val="24"/>
        </w:rPr>
        <w:t>Juvenile justice reform: Realigning responsibilities</w:t>
      </w:r>
      <w:r>
        <w:rPr>
          <w:rFonts w:asciiTheme="majorBidi" w:hAnsiTheme="majorBidi" w:cstheme="majorBidi"/>
          <w:sz w:val="24"/>
          <w:szCs w:val="24"/>
        </w:rPr>
        <w:t>. DIANE Publishing</w:t>
      </w:r>
    </w:p>
    <w:p w14:paraId="68E0BC16"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Mallet, C.A. &amp; Tedor, M.F. (2018). </w:t>
      </w:r>
      <w:r w:rsidRPr="00B43F76">
        <w:rPr>
          <w:rFonts w:asciiTheme="majorBidi" w:hAnsiTheme="majorBidi" w:cstheme="majorBidi"/>
          <w:i/>
          <w:iCs/>
          <w:sz w:val="24"/>
          <w:szCs w:val="24"/>
        </w:rPr>
        <w:t>Juvenile delinquency: Pathways and prevention</w:t>
      </w:r>
      <w:r>
        <w:rPr>
          <w:rFonts w:asciiTheme="majorBidi" w:hAnsiTheme="majorBidi" w:cstheme="majorBidi"/>
          <w:sz w:val="24"/>
          <w:szCs w:val="24"/>
        </w:rPr>
        <w:t>. SAGE Publications</w:t>
      </w:r>
    </w:p>
    <w:p w14:paraId="109C8F5B"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Popple, P.R. (2018). </w:t>
      </w:r>
      <w:r w:rsidRPr="00E72CB4">
        <w:rPr>
          <w:rFonts w:asciiTheme="majorBidi" w:hAnsiTheme="majorBidi" w:cstheme="majorBidi"/>
          <w:i/>
          <w:iCs/>
          <w:sz w:val="24"/>
          <w:szCs w:val="24"/>
        </w:rPr>
        <w:t>Social work practice and social welfare policy in the United States: A history</w:t>
      </w:r>
      <w:r>
        <w:rPr>
          <w:rFonts w:asciiTheme="majorBidi" w:hAnsiTheme="majorBidi" w:cstheme="majorBidi"/>
          <w:i/>
          <w:iCs/>
          <w:sz w:val="24"/>
          <w:szCs w:val="24"/>
        </w:rPr>
        <w:t xml:space="preserve">. </w:t>
      </w:r>
      <w:r>
        <w:rPr>
          <w:rFonts w:asciiTheme="majorBidi" w:hAnsiTheme="majorBidi" w:cstheme="majorBidi"/>
          <w:sz w:val="24"/>
          <w:szCs w:val="24"/>
        </w:rPr>
        <w:t>Oxford University Press.</w:t>
      </w:r>
    </w:p>
    <w:p w14:paraId="61345718" w14:textId="77777777" w:rsidR="009C3407" w:rsidRDefault="009C3407" w:rsidP="009C3407">
      <w:pPr>
        <w:spacing w:line="480" w:lineRule="auto"/>
        <w:ind w:left="720" w:hanging="720"/>
        <w:rPr>
          <w:rFonts w:asciiTheme="majorBidi" w:hAnsiTheme="majorBidi" w:cstheme="majorBidi"/>
          <w:i/>
          <w:iCs/>
          <w:sz w:val="24"/>
          <w:szCs w:val="24"/>
        </w:rPr>
      </w:pPr>
      <w:r>
        <w:rPr>
          <w:rFonts w:asciiTheme="majorBidi" w:hAnsiTheme="majorBidi" w:cstheme="majorBidi"/>
          <w:sz w:val="24"/>
          <w:szCs w:val="24"/>
        </w:rPr>
        <w:t xml:space="preserve">Warde, B. (2016). </w:t>
      </w:r>
      <w:r w:rsidRPr="008B46A1">
        <w:rPr>
          <w:rFonts w:asciiTheme="majorBidi" w:hAnsiTheme="majorBidi" w:cstheme="majorBidi"/>
          <w:i/>
          <w:iCs/>
          <w:sz w:val="24"/>
          <w:szCs w:val="24"/>
        </w:rPr>
        <w:t>Inequality in U.S. social policy: An historical analysis</w:t>
      </w:r>
      <w:r>
        <w:rPr>
          <w:rFonts w:asciiTheme="majorBidi" w:hAnsiTheme="majorBidi" w:cstheme="majorBidi"/>
          <w:sz w:val="24"/>
          <w:szCs w:val="24"/>
        </w:rPr>
        <w:t>. Routledge</w:t>
      </w:r>
      <w:r w:rsidRPr="00E72CB4">
        <w:rPr>
          <w:rFonts w:asciiTheme="majorBidi" w:hAnsiTheme="majorBidi" w:cstheme="majorBidi"/>
          <w:i/>
          <w:iCs/>
          <w:sz w:val="24"/>
          <w:szCs w:val="24"/>
        </w:rPr>
        <w:t xml:space="preserve"> </w:t>
      </w:r>
    </w:p>
    <w:p w14:paraId="2FFE2709" w14:textId="77777777" w:rsidR="009C3407" w:rsidRDefault="009C3407" w:rsidP="009C3407">
      <w:pPr>
        <w:pStyle w:val="NormalWeb"/>
        <w:ind w:left="567" w:hanging="567"/>
      </w:pPr>
      <w:r>
        <w:t xml:space="preserve">Alternatives to the Secure Detention and Confinement of ... (n.d.). Retrieved September 8, 2020, from </w:t>
      </w:r>
      <w:hyperlink r:id="rId4" w:history="1">
        <w:r w:rsidRPr="006332A2">
          <w:rPr>
            <w:rStyle w:val="Hyperlink"/>
          </w:rPr>
          <w:t>https://www.ncjrs.gov/pdffiles1/ojjdp/208804.pdf</w:t>
        </w:r>
      </w:hyperlink>
    </w:p>
    <w:p w14:paraId="442C4CA6" w14:textId="77777777" w:rsidR="009C3407" w:rsidRDefault="009C3407" w:rsidP="009C3407">
      <w:pPr>
        <w:pStyle w:val="NormalWeb"/>
        <w:ind w:left="567" w:hanging="567"/>
      </w:pPr>
      <w:r>
        <w:t xml:space="preserve">Criminal justice, prison reform and crime prevention. (n.d.). Retrieved September 08, 2020, from </w:t>
      </w:r>
      <w:hyperlink r:id="rId5" w:history="1">
        <w:r w:rsidRPr="006332A2">
          <w:rPr>
            <w:rStyle w:val="Hyperlink"/>
          </w:rPr>
          <w:t>http://www.unodc.org/unodc/en/justice-and-prison-reform/index.html?ref=menuside</w:t>
        </w:r>
      </w:hyperlink>
    </w:p>
    <w:p w14:paraId="5CC38093" w14:textId="77777777" w:rsidR="009C3407" w:rsidRPr="008413DB" w:rsidRDefault="009C3407" w:rsidP="009C3407">
      <w:pPr>
        <w:spacing w:line="480" w:lineRule="auto"/>
        <w:ind w:firstLine="720"/>
        <w:jc w:val="center"/>
        <w:rPr>
          <w:rFonts w:asciiTheme="majorBidi" w:hAnsiTheme="majorBidi" w:cstheme="majorBidi"/>
          <w:sz w:val="24"/>
          <w:szCs w:val="24"/>
        </w:rPr>
      </w:pPr>
    </w:p>
    <w:p w14:paraId="2E11F3A8" w14:textId="77777777" w:rsidR="009C3407" w:rsidRDefault="009C3407" w:rsidP="009C3407">
      <w:pPr>
        <w:spacing w:line="480" w:lineRule="auto"/>
        <w:ind w:firstLine="720"/>
        <w:rPr>
          <w:rFonts w:asciiTheme="majorBidi" w:hAnsiTheme="majorBidi" w:cstheme="majorBidi"/>
          <w:sz w:val="24"/>
          <w:szCs w:val="24"/>
        </w:rPr>
      </w:pPr>
    </w:p>
    <w:p w14:paraId="5F8E216C" w14:textId="77777777" w:rsidR="009C3407" w:rsidRDefault="009C3407" w:rsidP="009C3407">
      <w:pPr>
        <w:spacing w:line="480" w:lineRule="auto"/>
        <w:rPr>
          <w:rFonts w:asciiTheme="majorBidi" w:hAnsiTheme="majorBidi" w:cstheme="majorBidi"/>
          <w:sz w:val="24"/>
          <w:szCs w:val="24"/>
        </w:rPr>
      </w:pPr>
    </w:p>
    <w:p w14:paraId="5684A211" w14:textId="77777777" w:rsidR="009C3407" w:rsidRDefault="009C3407" w:rsidP="009C3407">
      <w:pPr>
        <w:spacing w:line="480" w:lineRule="auto"/>
        <w:jc w:val="center"/>
        <w:rPr>
          <w:rFonts w:asciiTheme="majorBidi" w:hAnsiTheme="majorBidi" w:cstheme="majorBidi"/>
          <w:sz w:val="24"/>
          <w:szCs w:val="24"/>
        </w:rPr>
      </w:pPr>
    </w:p>
    <w:p w14:paraId="19D256D4" w14:textId="70C36FF4" w:rsidR="009C3407" w:rsidRDefault="009C3407" w:rsidP="009C3407">
      <w:pPr>
        <w:spacing w:line="480" w:lineRule="auto"/>
        <w:jc w:val="center"/>
        <w:rPr>
          <w:rFonts w:asciiTheme="majorBidi" w:hAnsiTheme="majorBidi" w:cstheme="majorBidi"/>
          <w:sz w:val="24"/>
          <w:szCs w:val="24"/>
        </w:rPr>
      </w:pPr>
      <w:r w:rsidRPr="00965C9A">
        <w:rPr>
          <w:rFonts w:asciiTheme="majorBidi" w:hAnsiTheme="majorBidi" w:cstheme="majorBidi"/>
          <w:sz w:val="24"/>
          <w:szCs w:val="24"/>
          <w:highlight w:val="yellow"/>
        </w:rPr>
        <w:lastRenderedPageBreak/>
        <w:t>References</w:t>
      </w:r>
      <w:r w:rsidR="00965C9A" w:rsidRPr="00965C9A">
        <w:rPr>
          <w:rFonts w:asciiTheme="majorBidi" w:hAnsiTheme="majorBidi" w:cstheme="majorBidi"/>
          <w:sz w:val="24"/>
          <w:szCs w:val="24"/>
          <w:highlight w:val="yellow"/>
        </w:rPr>
        <w:t xml:space="preserve"> I submitted</w:t>
      </w:r>
      <w:bookmarkStart w:id="0" w:name="_GoBack"/>
      <w:bookmarkEnd w:id="0"/>
    </w:p>
    <w:p w14:paraId="3559B31F"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Aguado, P.L. (2018). </w:t>
      </w:r>
      <w:r w:rsidRPr="000B1CD3">
        <w:rPr>
          <w:rFonts w:asciiTheme="majorBidi" w:hAnsiTheme="majorBidi" w:cstheme="majorBidi"/>
          <w:i/>
          <w:iCs/>
          <w:sz w:val="24"/>
          <w:szCs w:val="24"/>
        </w:rPr>
        <w:t>Stick together and come back home: Racial sorting and spillover of carceral identity</w:t>
      </w:r>
      <w:r>
        <w:rPr>
          <w:rFonts w:asciiTheme="majorBidi" w:hAnsiTheme="majorBidi" w:cstheme="majorBidi"/>
          <w:sz w:val="24"/>
          <w:szCs w:val="24"/>
        </w:rPr>
        <w:t>. University of California</w:t>
      </w:r>
    </w:p>
    <w:p w14:paraId="4D397744"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Cole, G. &amp; Smith, C. (2007). </w:t>
      </w:r>
      <w:r w:rsidRPr="004F015D">
        <w:rPr>
          <w:rFonts w:asciiTheme="majorBidi" w:hAnsiTheme="majorBidi" w:cstheme="majorBidi"/>
          <w:i/>
          <w:iCs/>
          <w:sz w:val="24"/>
          <w:szCs w:val="24"/>
        </w:rPr>
        <w:t>Criminal justice in America</w:t>
      </w:r>
      <w:r>
        <w:rPr>
          <w:rFonts w:asciiTheme="majorBidi" w:hAnsiTheme="majorBidi" w:cstheme="majorBidi"/>
          <w:sz w:val="24"/>
          <w:szCs w:val="24"/>
        </w:rPr>
        <w:t>. Cengage Learning</w:t>
      </w:r>
    </w:p>
    <w:p w14:paraId="30A13EBA"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Hancock, D.W. (2009). </w:t>
      </w:r>
      <w:r w:rsidRPr="00B43F76">
        <w:rPr>
          <w:rFonts w:asciiTheme="majorBidi" w:hAnsiTheme="majorBidi" w:cstheme="majorBidi"/>
          <w:i/>
          <w:iCs/>
          <w:sz w:val="24"/>
          <w:szCs w:val="24"/>
        </w:rPr>
        <w:t>Juvenile justice reform: Realigning responsibilities</w:t>
      </w:r>
      <w:r>
        <w:rPr>
          <w:rFonts w:asciiTheme="majorBidi" w:hAnsiTheme="majorBidi" w:cstheme="majorBidi"/>
          <w:sz w:val="24"/>
          <w:szCs w:val="24"/>
        </w:rPr>
        <w:t>. DIANE Publishing</w:t>
      </w:r>
    </w:p>
    <w:p w14:paraId="34F022F0"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Mallet, C.A. &amp; Tedor, M.F. (2018). </w:t>
      </w:r>
      <w:r w:rsidRPr="00B43F76">
        <w:rPr>
          <w:rFonts w:asciiTheme="majorBidi" w:hAnsiTheme="majorBidi" w:cstheme="majorBidi"/>
          <w:i/>
          <w:iCs/>
          <w:sz w:val="24"/>
          <w:szCs w:val="24"/>
        </w:rPr>
        <w:t>Juvenile delinquency: Pathways and prevention</w:t>
      </w:r>
      <w:r>
        <w:rPr>
          <w:rFonts w:asciiTheme="majorBidi" w:hAnsiTheme="majorBidi" w:cstheme="majorBidi"/>
          <w:sz w:val="24"/>
          <w:szCs w:val="24"/>
        </w:rPr>
        <w:t>. SAGE Publications</w:t>
      </w:r>
    </w:p>
    <w:p w14:paraId="7B7921F5" w14:textId="77777777" w:rsidR="009C3407" w:rsidRDefault="009C3407" w:rsidP="009C3407">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Popple, P.R. (2018). </w:t>
      </w:r>
      <w:r w:rsidRPr="00E72CB4">
        <w:rPr>
          <w:rFonts w:asciiTheme="majorBidi" w:hAnsiTheme="majorBidi" w:cstheme="majorBidi"/>
          <w:i/>
          <w:iCs/>
          <w:sz w:val="24"/>
          <w:szCs w:val="24"/>
        </w:rPr>
        <w:t>Social work practice and social welfare policy in the United States: A history</w:t>
      </w:r>
      <w:r>
        <w:rPr>
          <w:rFonts w:asciiTheme="majorBidi" w:hAnsiTheme="majorBidi" w:cstheme="majorBidi"/>
          <w:i/>
          <w:iCs/>
          <w:sz w:val="24"/>
          <w:szCs w:val="24"/>
        </w:rPr>
        <w:t xml:space="preserve">. </w:t>
      </w:r>
      <w:r>
        <w:rPr>
          <w:rFonts w:asciiTheme="majorBidi" w:hAnsiTheme="majorBidi" w:cstheme="majorBidi"/>
          <w:sz w:val="24"/>
          <w:szCs w:val="24"/>
        </w:rPr>
        <w:t>Oxford University Press.</w:t>
      </w:r>
    </w:p>
    <w:p w14:paraId="0BEDB11E" w14:textId="77777777" w:rsidR="009C3407" w:rsidRDefault="009C3407" w:rsidP="009C3407">
      <w:pPr>
        <w:spacing w:line="480" w:lineRule="auto"/>
        <w:ind w:firstLine="720"/>
        <w:jc w:val="center"/>
        <w:rPr>
          <w:rFonts w:asciiTheme="majorBidi" w:hAnsiTheme="majorBidi" w:cstheme="majorBidi"/>
          <w:sz w:val="24"/>
          <w:szCs w:val="24"/>
        </w:rPr>
      </w:pPr>
    </w:p>
    <w:p w14:paraId="421A4D0B" w14:textId="77777777" w:rsidR="009C3407" w:rsidRDefault="009C3407" w:rsidP="009C3407">
      <w:pPr>
        <w:spacing w:line="480" w:lineRule="auto"/>
        <w:ind w:firstLine="720"/>
        <w:jc w:val="center"/>
        <w:rPr>
          <w:rFonts w:asciiTheme="majorBidi" w:hAnsiTheme="majorBidi" w:cstheme="majorBidi"/>
          <w:sz w:val="24"/>
          <w:szCs w:val="24"/>
        </w:rPr>
      </w:pPr>
    </w:p>
    <w:sectPr w:rsidR="009C3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5F"/>
    <w:rsid w:val="00380E2A"/>
    <w:rsid w:val="003C4C5F"/>
    <w:rsid w:val="0065420A"/>
    <w:rsid w:val="00965C9A"/>
    <w:rsid w:val="009C3407"/>
    <w:rsid w:val="00E23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86BD"/>
  <w15:chartTrackingRefBased/>
  <w15:docId w15:val="{F1D540F0-CD5B-4370-ADBE-64210A72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C4C5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1">
    <w:name w:val="font_1"/>
    <w:basedOn w:val="Normal"/>
    <w:rsid w:val="009C34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9C3407"/>
  </w:style>
  <w:style w:type="paragraph" w:styleId="NormalWeb">
    <w:name w:val="Normal (Web)"/>
    <w:basedOn w:val="Normal"/>
    <w:uiPriority w:val="99"/>
    <w:unhideWhenUsed/>
    <w:rsid w:val="009C34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C34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09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nodc.org/unodc/en/justice-and-prison-reform/index.html?ref=menuside" TargetMode="External"/><Relationship Id="rId4" Type="http://schemas.openxmlformats.org/officeDocument/2006/relationships/hyperlink" Target="https://www.ncjrs.gov/pdffiles1/ojjdp/2088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Seterria Anderson</dc:creator>
  <cp:keywords/>
  <dc:description/>
  <cp:lastModifiedBy>Seterria Anderson</cp:lastModifiedBy>
  <cp:revision>4</cp:revision>
  <dcterms:created xsi:type="dcterms:W3CDTF">2020-09-08T05:21:00Z</dcterms:created>
  <dcterms:modified xsi:type="dcterms:W3CDTF">2020-09-08T05:22:00Z</dcterms:modified>
</cp:coreProperties>
</file>